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A6" w:rsidRDefault="00B97AA6" w:rsidP="00B97AA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Практическая работа №5</w:t>
      </w:r>
    </w:p>
    <w:p w:rsidR="00B97AA6" w:rsidRDefault="00B97AA6" w:rsidP="00B97AA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Изучение устройства датчиков температуры.</w:t>
      </w:r>
    </w:p>
    <w:p w:rsidR="00B97AA6" w:rsidRDefault="00B97AA6" w:rsidP="00B97A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Цель работы: Ознакомиться с типами датчиков температуры и их принципом действия.</w:t>
      </w:r>
    </w:p>
    <w:p w:rsidR="00B97AA6" w:rsidRDefault="00B97AA6" w:rsidP="00B97A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Ход работы:</w:t>
      </w:r>
    </w:p>
    <w:p w:rsidR="00B97AA6" w:rsidRDefault="00B97AA6" w:rsidP="00B97A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Изучить теоретический материал.</w:t>
      </w:r>
    </w:p>
    <w:p w:rsidR="00B97AA6" w:rsidRDefault="00B97AA6" w:rsidP="00B97A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Заполнить таблицу.</w:t>
      </w:r>
    </w:p>
    <w:p w:rsidR="00B97AA6" w:rsidRPr="00B97AA6" w:rsidRDefault="00B97AA6" w:rsidP="00B97AA6">
      <w:pPr>
        <w:pStyle w:val="a3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2"/>
        <w:gridCol w:w="2343"/>
        <w:gridCol w:w="1769"/>
        <w:gridCol w:w="1827"/>
        <w:gridCol w:w="1810"/>
      </w:tblGrid>
      <w:tr w:rsidR="00B97AA6" w:rsidTr="00B97AA6">
        <w:tc>
          <w:tcPr>
            <w:tcW w:w="1271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  <w:t>Наименование датчика температуры</w:t>
            </w:r>
          </w:p>
        </w:tc>
        <w:tc>
          <w:tcPr>
            <w:tcW w:w="2467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  <w:t>Конструкция</w:t>
            </w: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  <w:t>Принцип действия</w:t>
            </w: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  <w:t>Достоинства</w:t>
            </w: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  <w:t>Недостатки</w:t>
            </w:r>
          </w:p>
        </w:tc>
      </w:tr>
      <w:tr w:rsidR="00B97AA6" w:rsidTr="00B97AA6">
        <w:tc>
          <w:tcPr>
            <w:tcW w:w="1271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67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69" w:type="dxa"/>
          </w:tcPr>
          <w:p w:rsidR="00B97AA6" w:rsidRDefault="00B97AA6" w:rsidP="00B97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97AA6" w:rsidRDefault="00B97AA6" w:rsidP="00B97A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</w:pPr>
    </w:p>
    <w:p w:rsidR="00B97AA6" w:rsidRPr="00B97AA6" w:rsidRDefault="00B97AA6" w:rsidP="00B97A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Термопара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Датчик включает в себя две проволоки из разных металлов, спаянных между собой. Для отношения концов друг с другом в зоне постоянной температуры, в конструкцию добавляют удлиняющие провода из двух металлов. Когда на концы проводов действуют разные температуры (например, при помещении датчика в горячую воду), то в цепи появляется электрический ток. Сила возникшего тока (от 40 до 60 мкВ) зависит от используемого материала термопары, который влияет на термоэлектрическую силу прибора.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В практике можно встретить железоникелевые, хромоалюминиевые, медно-константановые и так далее. В дешевых моделях используются неблагородные металлы (аналогичных термоэлектродам) для удлиняющих проводов, а в дорогих – благородные металлы, которые способы развивать аналогичную термо-ЭДС, что и электроды (необходимо для уменьшения стоимости высококлассным приборов).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Термопара относится к датчикам с высокой точностью. Проблемой устройства является сложность получения замеренного значения. Термопара действует по принципу относительности отличия температур между разъемами. Горячий спай помещается в замеряемое вещество, а холодный остается находиться в окружающей среде.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При необходимости использования термопары работа проводится следующим образом. Температуру холодного спая необходимо компенсировать, для чего вторую термопару помещают в среду с известным показателем.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Если используется программный способ компенсации, второй датчик помещается в изометрическую камеру, где находятся холодные спаи, что позволяет контролировать температуру с высокой точностью. Самое сложное в работе с одноконтактной термопарой – снять показатели.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В ГОСТе прописаны коэффициенты, необходимые для перевода ЭДС в показатель температуры и наоборот. Подсчет также может вестись при помощи контроллера.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Но получаемый от термопары показатель ЭДС измеряется в единицах и сотнях микровольт. Поэтому использование аналоговых преобразователей не будет успешным. Для сборки специальной конструкции, цель которой – получение точных результатов, потребуются малошумящие аналоговые преобразователи.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lastRenderedPageBreak/>
        <w:t>На практике для устранения имеющихся погрешностей используют автоматическое введение поправки на температуру свободных концов. Под этим подразумевают введение моста с плечами в виде медного и манганинового терморезисторов.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noProof/>
          <w:color w:val="362E48"/>
          <w:sz w:val="24"/>
          <w:szCs w:val="24"/>
          <w:lang w:eastAsia="ru-RU"/>
        </w:rPr>
        <w:drawing>
          <wp:inline distT="0" distB="0" distL="0" distR="0" wp14:anchorId="4167620E" wp14:editId="4474F2C0">
            <wp:extent cx="2867025" cy="2150269"/>
            <wp:effectExtent l="0" t="0" r="0" b="2540"/>
            <wp:docPr id="1" name="Рисунок 1" descr="Датчик темпе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тчик температу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11" cy="215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6" w:rsidRPr="00B97AA6" w:rsidRDefault="00B97AA6" w:rsidP="00B97A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b/>
          <w:bCs/>
          <w:color w:val="362E48"/>
          <w:sz w:val="24"/>
          <w:szCs w:val="24"/>
          <w:bdr w:val="none" w:sz="0" w:space="0" w:color="auto" w:frame="1"/>
          <w:lang w:eastAsia="ru-RU"/>
        </w:rPr>
        <w:t>Терморезисторы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Терморезисторы делятся по типу зависимости сопротивления от температуры. Они могут быть отрицательными (NTC) или положительными (PTC).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Измерения легче проводить при помощи терморезисторов. Принцип работы построен на сопротивлении материалов внешней температуре. Высокая точность присуща для приборов, изготовленных из платины. На работу терморезисторов влияют две характеристики.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Первая – базовое сопротивление, второе – температура, при которой оно определяется. ГОСТ устанавливает, что определение должно проходить при 0 градусов по Цельсию. В нормативном документе указывается, что рекомендуется использовать несколько номиналов сопротивлений, определяемых в Омах, а также температуры, что позволит сопоставить результаты при 0°С и другом показателе. Для этого используется следующая формула:</w:t>
      </w:r>
    </w:p>
    <w:p w:rsidR="00B97AA6" w:rsidRPr="00B97AA6" w:rsidRDefault="00B97AA6" w:rsidP="00B9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Т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кс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 = (R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e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 – R0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c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) / (T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e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 – T0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c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) *1/R</w:t>
      </w: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bdr w:val="none" w:sz="0" w:space="0" w:color="auto" w:frame="1"/>
          <w:vertAlign w:val="subscript"/>
          <w:lang w:eastAsia="ru-RU"/>
        </w:rPr>
        <w:t>0c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noProof/>
          <w:color w:val="362E48"/>
          <w:sz w:val="24"/>
          <w:szCs w:val="24"/>
          <w:lang w:eastAsia="ru-RU"/>
        </w:rPr>
        <w:drawing>
          <wp:inline distT="0" distB="0" distL="0" distR="0" wp14:anchorId="36297A7E" wp14:editId="7CC2DE7C">
            <wp:extent cx="3438525" cy="2578894"/>
            <wp:effectExtent l="0" t="0" r="0" b="0"/>
            <wp:docPr id="2" name="Рисунок 2" descr="Терморезис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рморезис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70" cy="258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lastRenderedPageBreak/>
        <w:t>Температурный коэффициент будет изменяться в зависимости от используемого материала для термометров, что отражено в ГОСТе. В нормативном документе также указываются коэффициенты полинома, необходимые для расчета в зависимости от текущего сопротивления.</w:t>
      </w:r>
    </w:p>
    <w:p w:rsid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Термометры сопротивления обладают одним минусом – низкий температурный коэффициент сопротивления. Несмотря на этот нюанс, использование терморезисторов проще по сравнению с принципом работы термопары.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Способы измерения будут зависеть от комплектации модели. Базовые терморезисторы необходимо включать в цепь с источником тока и контролируемого дифференциального напряжения. Чтобы корректно определить доли единицы процента получаемых от температурного коэффициента проводников, лучше использовать аналого-цифровые преобразователи.</w:t>
      </w:r>
    </w:p>
    <w:p w:rsidR="00B97AA6" w:rsidRPr="00B97AA6" w:rsidRDefault="00B97AA6" w:rsidP="00B97AA6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</w:pPr>
      <w:r w:rsidRPr="00B97AA6">
        <w:rPr>
          <w:rFonts w:ascii="Times New Roman" w:eastAsia="Times New Roman" w:hAnsi="Times New Roman" w:cs="Times New Roman"/>
          <w:color w:val="362E48"/>
          <w:sz w:val="24"/>
          <w:szCs w:val="24"/>
          <w:lang w:eastAsia="ru-RU"/>
        </w:rPr>
        <w:t>Если в датчик уже встроен аналоговый выход, соответствующий питаемому напряжению, то для оцифровывания можно напрямую подключать терморезистор к преобразователю</w:t>
      </w:r>
    </w:p>
    <w:p w:rsidR="00FC5806" w:rsidRDefault="00FC5806"/>
    <w:sectPr w:rsidR="00FC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4EEB"/>
    <w:multiLevelType w:val="hybridMultilevel"/>
    <w:tmpl w:val="50705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92"/>
    <w:rsid w:val="000173B7"/>
    <w:rsid w:val="00966E92"/>
    <w:rsid w:val="00B97AA6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A6"/>
    <w:pPr>
      <w:ind w:left="720"/>
      <w:contextualSpacing/>
    </w:pPr>
  </w:style>
  <w:style w:type="table" w:styleId="a4">
    <w:name w:val="Table Grid"/>
    <w:basedOn w:val="a1"/>
    <w:uiPriority w:val="39"/>
    <w:rsid w:val="00B97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A6"/>
    <w:pPr>
      <w:ind w:left="720"/>
      <w:contextualSpacing/>
    </w:pPr>
  </w:style>
  <w:style w:type="table" w:styleId="a4">
    <w:name w:val="Table Grid"/>
    <w:basedOn w:val="a1"/>
    <w:uiPriority w:val="39"/>
    <w:rsid w:val="00B97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2020-09-11T07:27:00Z</dcterms:created>
  <dcterms:modified xsi:type="dcterms:W3CDTF">2020-09-11T07:27:00Z</dcterms:modified>
</cp:coreProperties>
</file>